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6C" w:rsidRPr="00F35B6C" w:rsidRDefault="00F35B6C" w:rsidP="00F35B6C">
      <w:pPr>
        <w:spacing w:after="255" w:line="495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2B2F30"/>
          <w:sz w:val="48"/>
          <w:szCs w:val="48"/>
          <w:lang w:eastAsia="pt-BR"/>
        </w:rPr>
      </w:pPr>
      <w:r w:rsidRPr="00F35B6C">
        <w:rPr>
          <w:rFonts w:ascii="Arial" w:eastAsia="Times New Roman" w:hAnsi="Arial" w:cs="Arial"/>
          <w:b/>
          <w:bCs/>
          <w:color w:val="2B2F30"/>
          <w:sz w:val="48"/>
          <w:szCs w:val="48"/>
          <w:lang w:eastAsia="pt-BR"/>
        </w:rPr>
        <w:t>15 grandes filmes feministas</w:t>
      </w:r>
    </w:p>
    <w:p w:rsidR="00F35B6C" w:rsidRPr="00F35B6C" w:rsidRDefault="00F35B6C" w:rsidP="00F35B6C">
      <w:pPr>
        <w:spacing w:after="300" w:line="420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2B2F3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2B2F30"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139700</wp:posOffset>
            </wp:positionV>
            <wp:extent cx="2611120" cy="1343025"/>
            <wp:effectExtent l="19050" t="0" r="0" b="0"/>
            <wp:wrapSquare wrapText="bothSides"/>
            <wp:docPr id="1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5B6C">
        <w:rPr>
          <w:rFonts w:ascii="Arial" w:eastAsia="Times New Roman" w:hAnsi="Arial" w:cs="Arial"/>
          <w:b/>
          <w:bCs/>
          <w:color w:val="2B2F30"/>
          <w:sz w:val="28"/>
          <w:szCs w:val="28"/>
          <w:lang w:eastAsia="pt-BR"/>
        </w:rPr>
        <w:t>Na semana em que se comemora o Dia Internacional da Mulher, selecionamos títulos fundamentais sobre a causa, de documentários experimentais a grandes</w:t>
      </w:r>
      <w:proofErr w:type="gramStart"/>
      <w:r w:rsidRPr="00F35B6C">
        <w:rPr>
          <w:rFonts w:ascii="Arial" w:eastAsia="Times New Roman" w:hAnsi="Arial" w:cs="Arial"/>
          <w:b/>
          <w:bCs/>
          <w:color w:val="2B2F3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2B2F30"/>
          <w:sz w:val="28"/>
          <w:szCs w:val="28"/>
          <w:lang w:eastAsia="pt-BR"/>
        </w:rPr>
        <w:t xml:space="preserve"> </w:t>
      </w:r>
      <w:proofErr w:type="gramEnd"/>
      <w:r w:rsidRPr="00F35B6C">
        <w:rPr>
          <w:rFonts w:ascii="Arial" w:eastAsia="Times New Roman" w:hAnsi="Arial" w:cs="Arial"/>
          <w:b/>
          <w:bCs/>
          <w:color w:val="2B2F30"/>
          <w:sz w:val="28"/>
          <w:szCs w:val="28"/>
          <w:lang w:eastAsia="pt-BR"/>
        </w:rPr>
        <w:t>sucessos de diferentes épocas e países</w:t>
      </w:r>
    </w:p>
    <w:p w:rsidR="00F35B6C" w:rsidRPr="00F35B6C" w:rsidRDefault="00F35B6C" w:rsidP="00F35B6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Os dois primeiros filmes considerados feministas da História são da era do cinema mudo: o curta-metragem </w:t>
      </w:r>
      <w:hyperlink r:id="rId6" w:history="1"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Os Resultados do Feminismo</w:t>
        </w:r>
      </w:hyperlink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de 1906, e o média-metragem </w:t>
      </w:r>
      <w:hyperlink r:id="rId7" w:history="1"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 xml:space="preserve">A Sorridente Madame </w:t>
        </w:r>
        <w:proofErr w:type="spellStart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Beudet</w:t>
        </w:r>
        <w:proofErr w:type="spellEnd"/>
      </w:hyperlink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de 1922. Dirigidos pelas cineastas pioneiras Alice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Guy-Blaché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Germaine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Dulac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respectivamente, ambos mostram como as questões que nos inquietam ainda hoje já mexiam com nossas antepassadas.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Desde então, outros esforços foram feitos – graças às deusas. E esperamos que eles só se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intensifiquem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! Cinema é diversão e também pode ajudar a contar a história de nossas disputas e conquistas. Esta lista vai de documentários experimentais a grandes sucessos do cinema, passando por vários países, e tem uma única intenção: mostrar que vale a pena lutar.</w:t>
      </w:r>
    </w:p>
    <w:p w:rsidR="00F35B6C" w:rsidRPr="00F35B6C" w:rsidRDefault="00F35B6C" w:rsidP="00F35B6C">
      <w:pPr>
        <w:numPr>
          <w:ilvl w:val="0"/>
          <w:numId w:val="2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A Grande Cidade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Mahanagar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. Dir. 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begin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instrText xml:space="preserve"> HYPERLINK "https://letterboxd.com/director/satyajit-ray/" </w:instrTex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separate"/>
      </w:r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Satyajit</w:t>
      </w:r>
      <w:proofErr w:type="spellEnd"/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 xml:space="preserve"> Ray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end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Índia, 1963. 130 min.)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Dirigido pelo grande cineasta indiano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Satyajit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Ray, </w:t>
      </w: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A Grande Cidade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 é um melodrama que se passa em Calcutá e oferece um sensível retrato sobre a mulher urbana dos anos 60, falando da entrada num mercado de trabalho dominado pela mão de obra masculina. O filme mostra o poder que ter um trabalho remunerado traz e também a reação machista que isso ocasiona. Estrelado pela brilhante atriz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Madhabi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>Mukherjee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no papel principal de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Arati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a obra fala sobre um pai de família que perde o emprego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ao mesmo tempo que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a mulher começa a trabalhar como vendedora para manter a casa. Dentro de suas perspectivas da época, nada poderia gerar maior humilhação.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Arati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rapidamente desenvolve seu potencial e se torna cada vez mais confiante, abalando os ditamos patriarcais rígidos da sociedade em que vive.</w:t>
      </w:r>
    </w:p>
    <w:p w:rsidR="00F35B6C" w:rsidRPr="00F35B6C" w:rsidRDefault="00F35B6C" w:rsidP="00F35B6C">
      <w:pPr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</w:p>
    <w:p w:rsidR="00F35B6C" w:rsidRPr="00F35B6C" w:rsidRDefault="00F35B6C" w:rsidP="00F35B6C">
      <w:pPr>
        <w:numPr>
          <w:ilvl w:val="0"/>
          <w:numId w:val="3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As Pequenas Margaridas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Sedmikrásky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. Dir. 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begin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instrText xml:space="preserve"> HYPERLINK "https://letterboxd.com/director/vera-chytilova-3/" </w:instrTex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separate"/>
      </w:r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Vě</w:t>
      </w:r>
      <w:proofErr w:type="gramStart"/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ra</w:t>
      </w:r>
      <w:proofErr w:type="spellEnd"/>
      <w:proofErr w:type="gramEnd"/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Chytilová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end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República Tcheca, 1966. 74 min.)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hyperlink r:id="rId8" w:history="1">
        <w:proofErr w:type="spellStart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Vě</w:t>
        </w:r>
        <w:proofErr w:type="gramStart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ra</w:t>
        </w:r>
        <w:proofErr w:type="spellEnd"/>
        <w:proofErr w:type="gramEnd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 xml:space="preserve"> </w:t>
        </w:r>
        <w:proofErr w:type="spellStart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Chytilová</w:t>
        </w:r>
        <w:proofErr w:type="spellEnd"/>
      </w:hyperlink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é uma das raras cineastas reconhecidas pela crítica na década de 60 e, com um estilo peculiar, marcou a ousadia de uma época. Em seu segundo filme, </w:t>
      </w: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As Pequenas Margaridas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uma farsa feminista amalucada e psicodélica, duas jovens (que se chamam Maria) decidem que se o mundo vai mal elas vão ser más também. Numa explosão de cores, cortes rápidos e com muitas experimentações de linguagem, as meninas vaidosas e gulosas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esculhambam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homens mais velhos que se dizem apaixonados, dançam bêbadas sem se importar com quem as cerca e promovem toda sorte de traquinagem, abalando a pretensa normalidade. A irreverência veio em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contraposição à ideologia do estado socialista tcheco, que prezava a produtividade dos trabalhadores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e reprovou especialmente o desperdício de comida no filme. Ele foi banido por um ano após seu lançamento.</w:t>
      </w:r>
    </w:p>
    <w:p w:rsidR="00F35B6C" w:rsidRPr="00F35B6C" w:rsidRDefault="00F35B6C" w:rsidP="00F35B6C">
      <w:pPr>
        <w:numPr>
          <w:ilvl w:val="0"/>
          <w:numId w:val="4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Resposta das Mulheres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Réponse</w:t>
      </w:r>
      <w:proofErr w:type="spellEnd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 xml:space="preserve"> de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Femmes</w:t>
      </w:r>
      <w:proofErr w:type="spellEnd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 xml:space="preserve"> –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Notre</w:t>
      </w:r>
      <w:proofErr w:type="spellEnd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Corps-Notre</w:t>
      </w:r>
      <w:proofErr w:type="spellEnd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Sexe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. Dir.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Agnés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Varda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França 1975. 8 min.)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A ONU designou 1975 como o Ano Internacional da Mulher e o canal de TV francês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Antenne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2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encomendou curtas-metragens a algumas cineastas. 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ideia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era que respondessem à questão: “O significa ser uma mulher?” A diretora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Agnés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Varda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escolheu uma variedade de pessoas do sexo feminino e concebeu o que ela chamou de cine-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>panfleto para falar sobre como era viver no corpo de mulher. No pequeno documentário, mulheres falam sobre a ambivalência com que a sociedade machista nos enxerga, falam de corpo-tabu, corpo-objeto e corpo-reprodutivo, exigindo ora que nos escondamos e ora que nos mostremos, reafirmando assim o próprio desejo e sugerindo a reinvenção da mulher por ela mesma. </w:t>
      </w:r>
    </w:p>
    <w:p w:rsidR="00F35B6C" w:rsidRPr="00F35B6C" w:rsidRDefault="00F35B6C" w:rsidP="00F35B6C">
      <w:pPr>
        <w:numPr>
          <w:ilvl w:val="0"/>
          <w:numId w:val="5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 xml:space="preserve">Jeanne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>Dielman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> (</w:t>
      </w:r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 xml:space="preserve">Jeanne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>Dielma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>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 xml:space="preserve">, 23, Quai du Commerce, 1080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>Bruxelles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 xml:space="preserve">. 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Dir.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Chantal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Akerman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Bélgica, 1975.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200 min.)</w:t>
      </w:r>
      <w:proofErr w:type="gramEnd"/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Esta obra-prima expõe por que devemos lutar contra o clássico “lugar de mulher” proposto pela cultura machista e misógina. Na trama, uma solitária dona de casa, viúva, realiza tarefas domésticas e reserva algumas tardes à prostituição. Aos espectadores é dada a surpresa de acompanhar o tempo de trabalhos ignorados e rebaixados: descascar batatas, polir bibelôs, fazer camas, comprar mantimentos, vender sexo. A diretora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Chantal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Akerman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fez questão de preservar o período de execução das atividades domésticas contribuindo assim para desfazer a falsa impressão masculina de que as coisas da casa se arrumam por si só – como claramente pensa o filho adolescente de Jeanne. Os homens da trama só existem para corroborar o esquema da mulher sem direito a paixões e escrava do lar. Essa maçante rotina promove um curto-circuito. Jeanne começa a cometer pequenas falhas até o filme chegar a um inesperado desfecho.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noProof/>
          <w:color w:val="2B2F30"/>
          <w:sz w:val="27"/>
          <w:szCs w:val="27"/>
          <w:lang w:eastAsia="pt-BR"/>
        </w:rPr>
        <w:lastRenderedPageBreak/>
        <w:drawing>
          <wp:inline distT="0" distB="0" distL="0" distR="0">
            <wp:extent cx="4524375" cy="5715000"/>
            <wp:effectExtent l="19050" t="0" r="9525" b="0"/>
            <wp:docPr id="6" name="Imagem 6" descr="https://hysteria.etc.br/wp-content/uploads/2018/03/5-Born-In-Flames_-475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ysteria.etc.br/wp-content/uploads/2018/03/5-Born-In-Flames_-475x6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6C" w:rsidRPr="00F35B6C" w:rsidRDefault="00F35B6C" w:rsidP="00F35B6C">
      <w:pPr>
        <w:numPr>
          <w:ilvl w:val="0"/>
          <w:numId w:val="6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Nascidas em Chamas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</w:t>
      </w: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Born In Flames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. Dir.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Lizzie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Borden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EUA, 1983. 90 min.)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Nesta ficção científica que começa dez anos depois de uma revolução socialista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tomar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os EUA, as mudanças promovidas provam não terem transformado os pilares sexistas, racistas e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homofóbicos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que estruturavam a sociedade anterior. Enquanto a TV celebra o governo, grupos organizados de mulheres se mobilizam e partem para o ataque quando uma de suas líderes é assassinada pela polícia. Numa narrativa fragmentada e radical, o filme explora o poder da mídia e faz uma ótima crítica à misoginia e ao racismo. A diretora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Lizzie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Borden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conseguiu a proeza de fazer com um orçamento baixíssimo (apenas 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 xml:space="preserve">US$ 40 mil) um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pseudo-documentário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feminista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superpotente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. </w:t>
      </w: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Nascidas em Chamas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dá espaço para mulheres que experimentam graus variados de opressão e amplifica a voz de negras, lésbicas e oriundas de classes baixas. Um chamamento à luta!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noProof/>
          <w:color w:val="2B2F30"/>
          <w:sz w:val="27"/>
          <w:szCs w:val="27"/>
          <w:lang w:eastAsia="pt-BR"/>
        </w:rPr>
        <w:drawing>
          <wp:inline distT="0" distB="0" distL="0" distR="0">
            <wp:extent cx="4686300" cy="3126641"/>
            <wp:effectExtent l="19050" t="0" r="0" b="0"/>
            <wp:docPr id="7" name="Imagem 7" descr="https://hysteria.etc.br/wp-content/uploads/2018/03/6-Ori%CC%81_-640x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ysteria.etc.br/wp-content/uploads/2018/03/6-Ori%CC%81_-640x4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26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6C" w:rsidRPr="00F35B6C" w:rsidRDefault="00F35B6C" w:rsidP="00F35B6C">
      <w:pPr>
        <w:numPr>
          <w:ilvl w:val="0"/>
          <w:numId w:val="7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Orí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 (Dir. Raquel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Gerber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Brasil, 1989. 94 min.)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Este documentário é fruto de uma parceria entre a historiadora e militante Beatriz Nascimento e a cineasta e socióloga Raquel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Gerber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. Numa espécie de colagem audiovisual investigativa e poética, o filme constrói uma relação entre ancestralidade africana e comunidades negras no Brasil nos anos 70 e 80, revelando um pouco a trajetória de Beatriz, narradora do filme e autora dos textos. Beatriz consolidou ao longo de 20 anos importantes estudos acerca de temáticas ligadas ao racismo da historiografia oficial e à importância dos quilombos. Usou o meio acadêmico para combater 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ideia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de que pessoas negras só participaram da história como mão de obra escrava e enfatizou o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protagonismo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afro-descendente. Suas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ideias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permanecem atuais e essenciais e o filme é uma grande referência de abordagem da diáspora africana e da experiência negra no Brasil. </w:t>
      </w:r>
      <w:r w:rsidRPr="00F35B6C">
        <w:rPr>
          <w:rFonts w:ascii="Arial" w:eastAsia="Times New Roman" w:hAnsi="Arial" w:cs="Arial"/>
          <w:noProof/>
          <w:color w:val="2B2F30"/>
          <w:sz w:val="27"/>
          <w:szCs w:val="27"/>
          <w:lang w:eastAsia="pt-BR"/>
        </w:rPr>
        <w:t xml:space="preserve"> </w:t>
      </w:r>
    </w:p>
    <w:p w:rsidR="00F35B6C" w:rsidRPr="00F35B6C" w:rsidRDefault="00F35B6C" w:rsidP="00F35B6C">
      <w:pPr>
        <w:numPr>
          <w:ilvl w:val="0"/>
          <w:numId w:val="8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lastRenderedPageBreak/>
        <w:t>Tudo Sobre Minha Mãe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</w:t>
      </w: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Todo Sobre Mi Madre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. Dir. Pedro Almodóvar, Espanha, 1999. 101 min.)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Se tem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um homem que sabe construir mulheres complexas, fortes e batalhadoras, seu nome é Pedro Almodóvar. Neste filme, o diretor espanhol nos apresenta Manuela,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uma mãe solo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que perde seu filho de 17 anos num acidente de carro. Ao ir à procura do pai dele (uma travesti chamada Lola) em Barcelona, Manuela reencontra sua velha amiga Agrado, uma prostituta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transgênero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bem como toda uma gama de outras mulheres, como uma freira grávida HIV positiva. Nessa rede de encontros e histórias intrincadas conhecemos um bocado de personagens femininas completamente originais dentro da história do cinema e elas nos ensinam a importância de se construir alianças em nossas lutas mais caras, sejam quais forem.</w:t>
      </w:r>
    </w:p>
    <w:p w:rsidR="00F35B6C" w:rsidRPr="00F35B6C" w:rsidRDefault="00F35B6C" w:rsidP="00F35B6C">
      <w:pPr>
        <w:numPr>
          <w:ilvl w:val="0"/>
          <w:numId w:val="9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Persépolis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Persepolis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. Dir.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Marjane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Satrapi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 </w:t>
      </w:r>
      <w:hyperlink r:id="rId11" w:history="1"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 xml:space="preserve">Vincent </w:t>
        </w:r>
        <w:proofErr w:type="spellStart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Paronnaud</w:t>
        </w:r>
        <w:proofErr w:type="spellEnd"/>
      </w:hyperlink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EUA/França, 2007. 96 min.)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Nesta animação,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quadrinista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 cineasta iraniana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Marjane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Satrapi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nos conta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como foi testemunhar, a partir dos 10 anos de idade, a revolução iraniana de 1979, quando fundamentalistas islâmicos tomaram o poder e uma imposição conservadora passou a reger o país. O filme mostra a trajetória de uma menina criada em uma família comunista e com visão crítica à repressão feminina imposta pelo regime tirânico. Questionando a injustiça, uma menina rebelde vai se desenhando e acompanhamos as mudanças e crises de sua vida até se tornar uma jovem mulher, sempre disposta a reivindicar os direitos de escolha. No filme,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Marjane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consegue evidenciar o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protagonismo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de mulheres politizadas no mundo islâmico, desfazendo preconceitos e reafirmando a força feminina diante do patriarcado.</w:t>
      </w:r>
    </w:p>
    <w:p w:rsidR="00F35B6C" w:rsidRPr="00F35B6C" w:rsidRDefault="00F35B6C" w:rsidP="00F35B6C">
      <w:pPr>
        <w:numPr>
          <w:ilvl w:val="0"/>
          <w:numId w:val="10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lastRenderedPageBreak/>
        <w:t>As Hiper Mulheres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(Dir. </w:t>
      </w:r>
      <w:hyperlink r:id="rId12" w:history="1"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Carlos Fausto</w:t>
        </w:r>
      </w:hyperlink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 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begin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instrText xml:space="preserve"> HYPERLINK "https://www.google.com.br/search?q=Takuma%CC%83+Kuikuro&amp;stick=H4sIAAAAAAAAAOPgE-LSz9U3yCqsMEwrVoKz0_O0xLKTrfTTMnNywYRVSmZRanJJfhEAdQgyKTIAAAA&amp;sa=X&amp;ved=0ahUKEwj2sKndrNPZAhWxuVkKHQ1DBNUQmxMIsgEoAjAW" </w:instrTex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separate"/>
      </w:r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Takuma</w:t>
      </w:r>
      <w:proofErr w:type="spellEnd"/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 xml:space="preserve">̃ </w:t>
      </w:r>
      <w:proofErr w:type="spellStart"/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Kuikuro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end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 </w:t>
      </w:r>
      <w:hyperlink r:id="rId13" w:history="1"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 xml:space="preserve">Leonardo </w:t>
        </w:r>
        <w:proofErr w:type="spellStart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Sette</w:t>
        </w:r>
        <w:proofErr w:type="spellEnd"/>
      </w:hyperlink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Brasil, 2011. 80 min.)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Este filme é uma produção do Vídeo nas Aldeias, projeto precursor na área de produção audiovisual indígena no Brasil, criado em 1986. O documentário destaca o poder feminino em uma comunidade indígena do Mato Grosso. Um velho índio da tribo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Kuikuro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receoso da iminente morte de sua mulher, pede para que a comunidade realize o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Jamurikumalu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o maior ritual de mulheres do Alto Xingu, para que ela tenha a chance de cantar uma última vez. Acompanhamos a preparação, os ensaios e os esforços para relembrar todos os cantos, entrevendo o cotidiano de uma aldeia onde as mulheres têm uma força que inspira.</w:t>
      </w:r>
    </w:p>
    <w:p w:rsidR="00F35B6C" w:rsidRPr="00F35B6C" w:rsidRDefault="00F35B6C" w:rsidP="00F35B6C">
      <w:pPr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noProof/>
          <w:color w:val="2B2F30"/>
          <w:sz w:val="27"/>
          <w:szCs w:val="27"/>
          <w:lang w:eastAsia="pt-BR"/>
        </w:rPr>
        <w:drawing>
          <wp:inline distT="0" distB="0" distL="0" distR="0">
            <wp:extent cx="2857500" cy="1600200"/>
            <wp:effectExtent l="19050" t="0" r="0" b="0"/>
            <wp:docPr id="11" name="Imagem 11" descr="https://hysteria.etc.br/wp-content/uploads/2018/03/10-Libertem-Angela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ysteria.etc.br/wp-content/uploads/2018/03/10-Libertem-Angela_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6C" w:rsidRPr="00F35B6C" w:rsidRDefault="00F35B6C" w:rsidP="00F35B6C">
      <w:pPr>
        <w:numPr>
          <w:ilvl w:val="0"/>
          <w:numId w:val="11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</w:pP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>Libertem</w:t>
      </w:r>
      <w:proofErr w:type="spellEnd"/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 xml:space="preserve"> Angela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> (</w:t>
      </w:r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 xml:space="preserve">Free Angela and all Political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>Prisioners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 xml:space="preserve">. Dir.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>Shola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 xml:space="preserve"> Lynch, EUA, 2012. 101 min.)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Angela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Davis é uma professora e filósofa americana que ficou conhecida na década de 70 por integrar o Partido Comunista dos EUA e o grupo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dos Pantera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Negras, além de militar pelos direitos das mulheres e combater a discriminação social e racial. Em 1970,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Angela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estava na lista dos dez fugitivos mais procurados pelo FBI devido a seu suposto envolvimento com um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sequestro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de motivação política e no assassinato de um juiz. Certa de que não receberia julgamento justo,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Angela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fugiu, mas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foi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capturada dois meses depois. Em 1972, depois de uma batalha legal, foi absolvida e tornou-se porta-voz principal de um movimento que pedia reformas no sistema prisional. O 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 xml:space="preserve">documentário é um tributo a essa mulher incrível, que tanto nos ensina com sua história e sua obra, enfatizando que a luta feminista deve ser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interseccional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 levar em conta que estruturas racistas, classistas e sexistas se entrecruzam em suas bases.</w:t>
      </w:r>
    </w:p>
    <w:p w:rsidR="00F35B6C" w:rsidRPr="00F35B6C" w:rsidRDefault="00F35B6C" w:rsidP="00F35B6C">
      <w:pPr>
        <w:numPr>
          <w:ilvl w:val="0"/>
          <w:numId w:val="12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>The Punk Singer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> (Dir. 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begin"/>
      </w:r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instrText xml:space="preserve"> HYPERLINK "https://www.google.com.br/search?q=sini+anderson&amp;stick=H4sIAAAAAAAAAOPgE-LSz9U3KDcsM0kzVQKzU4pN4yvStcSyk6300zJzcsGEVUpmUWpySX4RAN_f0nIyAAAA&amp;sa=X&amp;ved=0ahUKEwjYip7h_NPZAhXEs1kKHRe3ABsQmxMInwEoATAQ" </w:instrTex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separate"/>
      </w:r>
      <w:r w:rsidRPr="00F35B6C">
        <w:rPr>
          <w:rFonts w:ascii="Arial" w:eastAsia="Times New Roman" w:hAnsi="Arial" w:cs="Arial"/>
          <w:color w:val="999999"/>
          <w:sz w:val="27"/>
          <w:u w:val="single"/>
          <w:lang w:val="en-US" w:eastAsia="pt-BR"/>
        </w:rPr>
        <w:t>Sini</w:t>
      </w:r>
      <w:proofErr w:type="spellEnd"/>
      <w:r w:rsidRPr="00F35B6C">
        <w:rPr>
          <w:rFonts w:ascii="Arial" w:eastAsia="Times New Roman" w:hAnsi="Arial" w:cs="Arial"/>
          <w:color w:val="999999"/>
          <w:sz w:val="27"/>
          <w:u w:val="single"/>
          <w:lang w:val="en-US" w:eastAsia="pt-BR"/>
        </w:rPr>
        <w:t xml:space="preserve"> Anderson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end"/>
      </w:r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>, EUA, 2013. 81 min.)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Este documentário cru, mas cheio de vigor, convida a percorrer a carreira da cantora e ícone feminista Kathleen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Hanna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(líder das bandas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Bikini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Kill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Julie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Ruin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Le Tigre) e revela por que uma das fundadoras do 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riot</w:t>
      </w:r>
      <w:proofErr w:type="spellEnd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grrrl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(movimento feminista dos anos 90 que abrangia 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begin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instrText xml:space="preserve"> HYPERLINK "https://pt.wikipedia.org/wiki/Fanzines" </w:instrTex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separate"/>
      </w:r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fanzines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end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festivais e bandas de rock) saiu de cena em 2005. Com bastante material de arquivo, depoimentos de amigos e entrevistas íntimas com a biografada, o filme mostra as batalhas que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Hanna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travou contra o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sexismo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o machismo, a imprensa e a fase final da doença de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Lyme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. Comprometida com o lema punk “faça você mesma” e coerente com a escolha de ser feminista no discurso e nas apresentações,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Hanna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influenciou toda uma geração de mulheres roqueiras que não tinham vergonha de se expor e de falar como bem entendessem nas décadas de 90 e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2000 .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</w:t>
      </w:r>
      <w:hyperlink r:id="rId15" w:history="1"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 xml:space="preserve">Disponível no </w:t>
        </w:r>
        <w:proofErr w:type="spellStart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YouTube</w:t>
        </w:r>
        <w:proofErr w:type="spellEnd"/>
      </w:hyperlink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.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</w:p>
    <w:p w:rsidR="00F35B6C" w:rsidRPr="00F35B6C" w:rsidRDefault="00F35B6C" w:rsidP="00F35B6C">
      <w:pPr>
        <w:numPr>
          <w:ilvl w:val="0"/>
          <w:numId w:val="13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val="en-US" w:eastAsia="pt-BR"/>
        </w:rPr>
        <w:t>She’s Beautiful When She’s Angry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val="en-US" w:eastAsia="pt-BR"/>
        </w:rPr>
        <w:t> (Dir. Mary Dore, EUA, 2014. 92 min.)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Este documentário, embora bastante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convencional, ganha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nosso destaque porque está dando sopa na Netflix e contribui bastante com a difusão do conhecimento sobre a segunda onda do movimento feminista em solo americano. Entre 1966 e 1971, mulheres fenomenais encabeçaram a luta e ampliaram o debate sobre nossos direitos, colocando em pauta igualdade de remuneração, fim do assédio nas ruas, direito ao aborto seguro e ao controle de natalidade, entre outras importantes questões. Uma oportunidade para entrar em 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>contato com a história de nossas conquistas, para refletir sobre a complexidade de lidar com uma pluralidade de vozes e para se empolgar em continuar o trabalho de nossas precursoras. Disponível na Netflix.</w:t>
      </w:r>
    </w:p>
    <w:p w:rsidR="00F35B6C" w:rsidRPr="00F35B6C" w:rsidRDefault="00F35B6C" w:rsidP="00F35B6C">
      <w:pPr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noProof/>
          <w:color w:val="2B2F30"/>
          <w:sz w:val="27"/>
          <w:szCs w:val="27"/>
          <w:lang w:eastAsia="pt-BR"/>
        </w:rPr>
        <w:drawing>
          <wp:inline distT="0" distB="0" distL="0" distR="0">
            <wp:extent cx="5181600" cy="2218373"/>
            <wp:effectExtent l="19050" t="0" r="0" b="0"/>
            <wp:docPr id="14" name="Imagem 14" descr="https://hysteria.etc.br/wp-content/uploads/2018/03/13-As-Sufragistas-640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ysteria.etc.br/wp-content/uploads/2018/03/13-As-Sufragistas-640x27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21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6C" w:rsidRPr="00F35B6C" w:rsidRDefault="00F35B6C" w:rsidP="00F35B6C">
      <w:pPr>
        <w:numPr>
          <w:ilvl w:val="0"/>
          <w:numId w:val="14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As Sufragistas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Sufraggette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. Dir. Sarah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Gavron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Reino Unido, 2015. 106 min.)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Estrelado por Carey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Mulligan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o drama britânico dirigido por Sarah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Gavron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faz um recorte específico da primeira onda do feminismo, momento histórico que fez a cabeça de mulheres trabalhadoras na primeira década do século XX e que resultou num forte movimento a favor do voto feminino. O filme escolhe partir de uma operária que a princípio não quer se meter em confusão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mas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que, depois de presenciar injustiças, desperta para a luta pelo sufrágio universal e vai descobrindo do que é preciso abrir mão para virar militante num mundo implacavelmente machista.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Meryl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Streep faz uma ponta interpretando uma personagem real, Emmeline Pankhurst, uma das fundadoras e mentora intelectual do movimento que conseguiu dar relevância à luta ao criar o Sindicato Político e Social das Mulheres (WSPU) em 1903. O voto feminino no Reino Unido foi conquistado em 1918, para mulheres acima de 30 anos, depois de muitos protestos, sabotagens e prisões. Dez anos depois o Parlamento Britânico aprovaria o sufrágio universal para maiores de 21 anos.</w:t>
      </w:r>
    </w:p>
    <w:p w:rsidR="00F35B6C" w:rsidRPr="00F35B6C" w:rsidRDefault="00F35B6C" w:rsidP="00F35B6C">
      <w:pPr>
        <w:spacing w:after="0" w:line="450" w:lineRule="atLeast"/>
        <w:jc w:val="center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noProof/>
          <w:color w:val="2B2F30"/>
          <w:sz w:val="27"/>
          <w:szCs w:val="27"/>
          <w:lang w:eastAsia="pt-BR"/>
        </w:rPr>
        <w:lastRenderedPageBreak/>
        <w:drawing>
          <wp:inline distT="0" distB="0" distL="0" distR="0">
            <wp:extent cx="4572000" cy="2571750"/>
            <wp:effectExtent l="19050" t="0" r="0" b="0"/>
            <wp:docPr id="15" name="Imagem 15" descr="https://hysteria.etc.br/wp-content/uploads/2018/03/14-Que-Horas-ela-volta_-64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ysteria.etc.br/wp-content/uploads/2018/03/14-Que-Horas-ela-volta_-640x36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6C" w:rsidRPr="00F35B6C" w:rsidRDefault="00F35B6C" w:rsidP="00F35B6C">
      <w:pPr>
        <w:numPr>
          <w:ilvl w:val="0"/>
          <w:numId w:val="15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Que Horas Ela Volta?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 (Dir. Anna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Muylaert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Brasil, 2015. 112 min.)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No mesmo ano em que foi aprovada a lei que regulamentou a “PEC das Domésticas”, Anna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Muylaert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trouxe um filme que contribuiu muito com o debate sobre a relação patrões-empregada no seio familiar e as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consequências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da inegável herança que temos em relação ao sistema escravagista. Na história, Val é uma empregada pernambucana que trabalha há anos com uma mesma família em São Paulo, com quem mora e onde desenvolveu vínculos afetivos. Quando sua filha Jéssica vem para a cidade tentar o vestibular, a crise estoura, pois ao contrário da mãe a jovem não aceita ser tratada como cidadã de segunda classe. É lindo ver a troca e a reaproximação de mãe e filha que juntas vão construindo um novo horizonte, e é revigorante ver um filme que expõe de forma clara e bem-humorada, sem deixar de ser incisiva, uma das maiores feridas do Brasil.</w:t>
      </w:r>
    </w:p>
    <w:p w:rsidR="00F35B6C" w:rsidRPr="00F35B6C" w:rsidRDefault="00F35B6C" w:rsidP="00F35B6C">
      <w:pPr>
        <w:numPr>
          <w:ilvl w:val="0"/>
          <w:numId w:val="16"/>
        </w:numPr>
        <w:spacing w:after="0" w:line="45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 xml:space="preserve">Gloria </w:t>
      </w:r>
      <w:proofErr w:type="spellStart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Allred</w:t>
      </w:r>
      <w:proofErr w:type="spellEnd"/>
      <w:r w:rsidRPr="00F35B6C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 xml:space="preserve"> – Justiça para Todas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(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Seeing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Allred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. Dir. </w:t>
      </w:r>
      <w:hyperlink r:id="rId18" w:history="1"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 xml:space="preserve">Roberta </w:t>
        </w:r>
        <w:proofErr w:type="spellStart"/>
        <w:r w:rsidRPr="00F35B6C">
          <w:rPr>
            <w:rFonts w:ascii="Arial" w:eastAsia="Times New Roman" w:hAnsi="Arial" w:cs="Arial"/>
            <w:color w:val="999999"/>
            <w:sz w:val="27"/>
            <w:u w:val="single"/>
            <w:lang w:eastAsia="pt-BR"/>
          </w:rPr>
          <w:t>Grossman</w:t>
        </w:r>
        <w:proofErr w:type="spellEnd"/>
      </w:hyperlink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e 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begin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instrText xml:space="preserve"> HYPERLINK "http://www.imdb.com/name/nm2510874?ref_=tt_ov_dr" </w:instrTex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separate"/>
      </w:r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Sophie</w:t>
      </w:r>
      <w:proofErr w:type="spellEnd"/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 xml:space="preserve"> </w:t>
      </w:r>
      <w:proofErr w:type="spellStart"/>
      <w:r w:rsidRPr="00F35B6C">
        <w:rPr>
          <w:rFonts w:ascii="Arial" w:eastAsia="Times New Roman" w:hAnsi="Arial" w:cs="Arial"/>
          <w:color w:val="999999"/>
          <w:sz w:val="27"/>
          <w:u w:val="single"/>
          <w:lang w:eastAsia="pt-BR"/>
        </w:rPr>
        <w:t>Sartain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fldChar w:fldCharType="end"/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EUA, 2018. 96 min.)</w:t>
      </w:r>
    </w:p>
    <w:p w:rsidR="00F35B6C" w:rsidRPr="00F35B6C" w:rsidRDefault="00F35B6C" w:rsidP="00F35B6C">
      <w:pPr>
        <w:spacing w:after="570" w:line="450" w:lineRule="atLeast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O nome não é tão familiar para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nós brasileiras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mas Gloria </w:t>
      </w:r>
      <w:proofErr w:type="spell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Allred</w:t>
      </w:r>
      <w:proofErr w:type="spell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é a advogada feminista mais popular nos EUA, onde construiu uma sólida carreira que já atravessa quatro décadas. Sua especialidade é defender vítimas de violência sexual e discriminação de gênero. O </w:t>
      </w:r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 xml:space="preserve">documentário mostra como a mídia manteve um esforço sistemático para desqualificá-la por sua assiduidade de aparições na TV e por estar envolvida em casos de abuso que 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envolvem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pessoas famosas e poderosas, como Bill Cosby e Donald Trump. Embora o filme não se aprofunde muito em nenhuma das informações que traz e esteja mais preocupado em glorificar a advogada do que entrar em questões complexas</w:t>
      </w:r>
      <w:proofErr w:type="gramStart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, é</w:t>
      </w:r>
      <w:proofErr w:type="gramEnd"/>
      <w:r w:rsidRPr="00F35B6C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uma boa forma de conhecer e fazer um sobrevoo pela carreira dessa mulher corajosa que reafirma a importância de se posicionar publicamente e lutar pelo direito das mulheres. Disponível na Netflix.</w:t>
      </w:r>
    </w:p>
    <w:sectPr w:rsidR="00F35B6C" w:rsidRPr="00F35B6C" w:rsidSect="00191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35F"/>
    <w:multiLevelType w:val="multilevel"/>
    <w:tmpl w:val="9AD2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F11BF6"/>
    <w:multiLevelType w:val="multilevel"/>
    <w:tmpl w:val="A672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3D345D"/>
    <w:multiLevelType w:val="multilevel"/>
    <w:tmpl w:val="EFF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C3251"/>
    <w:multiLevelType w:val="multilevel"/>
    <w:tmpl w:val="0DC8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E37016"/>
    <w:multiLevelType w:val="multilevel"/>
    <w:tmpl w:val="957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BD74DB"/>
    <w:multiLevelType w:val="multilevel"/>
    <w:tmpl w:val="B160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997BE4"/>
    <w:multiLevelType w:val="multilevel"/>
    <w:tmpl w:val="44A0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8F2D70"/>
    <w:multiLevelType w:val="multilevel"/>
    <w:tmpl w:val="C7F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466F0E"/>
    <w:multiLevelType w:val="multilevel"/>
    <w:tmpl w:val="7348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752D35"/>
    <w:multiLevelType w:val="multilevel"/>
    <w:tmpl w:val="2494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6E1763"/>
    <w:multiLevelType w:val="multilevel"/>
    <w:tmpl w:val="AC0A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BA1E24"/>
    <w:multiLevelType w:val="multilevel"/>
    <w:tmpl w:val="F9F2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D938CD"/>
    <w:multiLevelType w:val="multilevel"/>
    <w:tmpl w:val="8D5E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4125C6"/>
    <w:multiLevelType w:val="multilevel"/>
    <w:tmpl w:val="9E04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892FD4"/>
    <w:multiLevelType w:val="multilevel"/>
    <w:tmpl w:val="2E9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2D0751"/>
    <w:multiLevelType w:val="multilevel"/>
    <w:tmpl w:val="DDCE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11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B6C"/>
    <w:rsid w:val="00191A1C"/>
    <w:rsid w:val="00F3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1C"/>
  </w:style>
  <w:style w:type="paragraph" w:styleId="Ttulo3">
    <w:name w:val="heading 3"/>
    <w:basedOn w:val="Normal"/>
    <w:link w:val="Ttulo3Char"/>
    <w:uiPriority w:val="9"/>
    <w:qFormat/>
    <w:rsid w:val="00F35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35B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idia-news-descr">
    <w:name w:val="midia-news-descr"/>
    <w:basedOn w:val="Normal"/>
    <w:rsid w:val="00F3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35B6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35B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terboxd.com/director/vera-chytilova-3/" TargetMode="External"/><Relationship Id="rId13" Type="http://schemas.openxmlformats.org/officeDocument/2006/relationships/hyperlink" Target="https://www.google.com.br/search?q=Leonardo+Sette&amp;stick=H4sIAAAAAAAAAOPgE-LSz9U3yCqsMEwrVoKz07O0xLKTrfTTMnNywYRVSmZRanJJfhEAjkKP0jIAAAA&amp;sa=X&amp;ved=0ahUKEwj2sKndrNPZAhWxuVkKHQ1DBNUQmxMIswEoAzAW" TargetMode="External"/><Relationship Id="rId18" Type="http://schemas.openxmlformats.org/officeDocument/2006/relationships/hyperlink" Target="http://www.imdb.com/name/nm0343706?ref_=tt_ov_d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VA8NBhipvs" TargetMode="External"/><Relationship Id="rId12" Type="http://schemas.openxmlformats.org/officeDocument/2006/relationships/hyperlink" Target="https://www.google.com.br/search?q=Carlos+Fausto&amp;stick=H4sIAAAAAAAAAOPgE-LSz9U3yCqsMEwrVuIGsQ0NTZMKkyu0xLKTrfTTMnNywYRVSmZRanJJfhEAhXUAZTMAAAA&amp;sa=X&amp;ved=0ahUKEwj2sKndrNPZAhWxuVkKHQ1DBNUQmxMIsQEoATAW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200&amp;v=_MO-LgdE7hE" TargetMode="External"/><Relationship Id="rId11" Type="http://schemas.openxmlformats.org/officeDocument/2006/relationships/hyperlink" Target="https://www.google.com.br/search?q=Vincent+Paronnaud&amp;stick=H4sIAAAAAAAAAOPgE-LSz9U3MCqyyMiIVwKzjSsNDApNtcSyk6300zJzcsGEVUpmUWpySX4RAPDqmKoyAAAA&amp;sa=X&amp;ved=0ahUKEwj7wdeWstPZAhXpxlkKHcZsCHsQmxMI0wEoAjA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DdTHg4SQNGE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2510</Words>
  <Characters>13554</Characters>
  <Application>Microsoft Office Word</Application>
  <DocSecurity>0</DocSecurity>
  <Lines>112</Lines>
  <Paragraphs>32</Paragraphs>
  <ScaleCrop>false</ScaleCrop>
  <Company/>
  <LinksUpToDate>false</LinksUpToDate>
  <CharactersWithSpaces>16032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2018-03-09T19:06:00Z</dcterms:created>
  <dcterms:modified xsi:type="dcterms:W3CDTF">2018-03-09T19:15:00Z</dcterms:modified>
</cp:coreProperties>
</file>