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D1" w:rsidRPr="00C73AD1" w:rsidRDefault="00C73AD1" w:rsidP="00C73AD1">
      <w:pPr>
        <w:jc w:val="center"/>
        <w:rPr>
          <w:b/>
          <w:color w:val="000000"/>
          <w:sz w:val="36"/>
          <w:szCs w:val="27"/>
          <w:shd w:val="clear" w:color="auto" w:fill="FFFFFF"/>
        </w:rPr>
      </w:pPr>
      <w:r w:rsidRPr="00C73AD1">
        <w:rPr>
          <w:b/>
          <w:color w:val="000000"/>
          <w:sz w:val="36"/>
          <w:szCs w:val="27"/>
          <w:shd w:val="clear" w:color="auto" w:fill="FFFFFF"/>
        </w:rPr>
        <w:t>O preço da guerra: traumas psicológicos dos soldados americanos no Iraque</w:t>
      </w:r>
    </w:p>
    <w:p w:rsidR="00C73AD1" w:rsidRPr="00C73AD1" w:rsidRDefault="00C73AD1" w:rsidP="00C73AD1">
      <w:pPr>
        <w:jc w:val="both"/>
        <w:rPr>
          <w:rFonts w:ascii="Arial" w:hAnsi="Arial" w:cs="Arial"/>
          <w:color w:val="000000"/>
          <w:sz w:val="24"/>
          <w:szCs w:val="27"/>
          <w:shd w:val="clear" w:color="auto" w:fill="FFFFFF"/>
        </w:rPr>
      </w:pPr>
    </w:p>
    <w:p w:rsidR="0078281E" w:rsidRPr="00C73AD1" w:rsidRDefault="00C73AD1" w:rsidP="00C73AD1">
      <w:pPr>
        <w:jc w:val="both"/>
        <w:rPr>
          <w:rFonts w:ascii="Arial" w:hAnsi="Arial" w:cs="Arial"/>
          <w:sz w:val="20"/>
        </w:rPr>
      </w:pP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WASHINGTON, 30 jun (AFP) - A guerra no Iraque tem um alto preço psicológico para os Estados Unidos: os soldados americanos que mataram, foram feridos ou conhecem algum dos mortos sofrem de depressão, ansiedade e estresse pós-traumático.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Estes soldados enfrentam "um risco significativo de (desenvolver) problemas de saúde mental", anunciou uma equipe dirigida pelo médico Charles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Hoge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, do Instituto de Pesquisas do Exército Walter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Reed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, em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Silver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Spring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(Maryland, leste), em estudo que será publicado nesta quinta-feira na revista americana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New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England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Journal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of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Medecine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Os cientistas fizeram uma pesquisa junto a milhares de soldados pertencentes a quatro unidades americanas da infantaria de combate (três do Exército e uma de Marines), enviados para o Iraque e o Afeganistão onde integraram a 82ª divisão aerotransportada e a 3ª divisão de infantaria.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Os questionários, anônimos, foram entregues antes do envio dos militares ao Iraque e ao Afeganistão e de três a quatro meses depois de sua volta. A pesquisa não inclui os soldados que foram feridos ou afastados de sua unidade por má conduta.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Os especialistas constataram que o número de soldados interrogados que sofre de depressão, ansiedade generalizada ou estresse pós-traumático é muito maior entre os que combateram no Iraque ou no Afeganistão (11,2 a 17,1%) do que entre os que responderam antes de ir ao Iraque (9,3%).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A diferença é particularmente significativa em relação ao estresse pós-traumático, que se desenvolve em resposta a uma situação violenta (guerra, agressão ou tomada de reféns).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Os pesquisadores também constataram a existência de uma estreita ligação entre as experiências de combate (ser alvo de tiros, </w:t>
      </w:r>
      <w:proofErr w:type="gram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transportar</w:t>
      </w:r>
      <w:proofErr w:type="gram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corpos, conhecer alguém que morreu ou matar um inimigo) e o estresse pós-traumático.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A prevalência de casos de estresse pós-traumático é de 4,5% entre aqueles que não se envolveram em combates, de 9,3% entre os que participaram de uma ou duas situações deste tipo, de 12,7% entre aqueles que se envolveram </w:t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lastRenderedPageBreak/>
        <w:t>em três a cinco situações e de 19,3% entre os que participaram cinco vezes ou mais.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Esta é a primeira vez que um estudo sobre os efeitos da guerra na saúde mental dos combatentes é feito com tanta rapidez, quando ainda continuam as operações militares no Iraque. O estado mental dos veteranos de guerra do Vietnã foi investigado, mas só 10 ou 20 anos depois de sua volta.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Este estudo "nos força a reconhecer o custo psiquiátrico" da guerra, escreveu em editorial o médico Matthew Friedman, do Centro Nacional sobre o Estresse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Pós-traumático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da secretaria americana de ex-combatentes.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Se forem levados em conta outros estudos feitos em conflitos anteriores, a prevalência do estresse pós-traumático pode aumentar consideravelmente durante os dois anos posteriores à volta dos soldados.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Ainda é muito cedo para medir o alcance psiquiátrico das operações de combate no Afeganistão e no Iraque, que começaram em 2001 e 2003, respectivamente.</w:t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</w:rPr>
        <w:br/>
      </w:r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A equipe do médico </w:t>
      </w:r>
      <w:proofErr w:type="spell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Hogen</w:t>
      </w:r>
      <w:proofErr w:type="spell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também constatou que muitos soldados que sofrem de problemas de saúde mental não procuraram ajuda porque acreditam que as doenças mentais poderiam prejudicar suas carreiras. Só 38% a 45% disseram ter recorrido </w:t>
      </w:r>
      <w:proofErr w:type="gramStart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>a</w:t>
      </w:r>
      <w:proofErr w:type="gramEnd"/>
      <w:r w:rsidRPr="00C73AD1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assistência.</w:t>
      </w:r>
    </w:p>
    <w:sectPr w:rsidR="0078281E" w:rsidRPr="00C73AD1" w:rsidSect="00782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AD1"/>
    <w:rsid w:val="0078281E"/>
    <w:rsid w:val="00C7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2018-08-07T00:12:00Z</dcterms:created>
  <dcterms:modified xsi:type="dcterms:W3CDTF">2018-08-07T00:20:00Z</dcterms:modified>
</cp:coreProperties>
</file>