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97" w:rsidRPr="00441797" w:rsidRDefault="00441797" w:rsidP="00441797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262626"/>
          <w:kern w:val="36"/>
          <w:sz w:val="48"/>
          <w:szCs w:val="48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kern w:val="36"/>
          <w:sz w:val="48"/>
          <w:szCs w:val="48"/>
          <w:lang w:eastAsia="pt-BR"/>
        </w:rPr>
        <w:t>“Que tem a música a ver com filosofia?”</w:t>
      </w:r>
    </w:p>
    <w:p w:rsidR="00441797" w:rsidRPr="00441797" w:rsidRDefault="00441797" w:rsidP="00441797">
      <w:pPr>
        <w:spacing w:line="240" w:lineRule="auto"/>
        <w:jc w:val="right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proofErr w:type="spellStart"/>
      <w:r>
        <w:rPr>
          <w:rFonts w:ascii="Georgia" w:eastAsia="Times New Roman" w:hAnsi="Georgia" w:cs="Times New Roman"/>
          <w:b/>
          <w:bCs/>
          <w:color w:val="262626"/>
          <w:sz w:val="27"/>
          <w:lang w:eastAsia="pt-BR"/>
        </w:rPr>
        <w:t>By</w:t>
      </w:r>
      <w:proofErr w:type="spellEnd"/>
      <w:r>
        <w:rPr>
          <w:rFonts w:ascii="Georgia" w:eastAsia="Times New Roman" w:hAnsi="Georgia" w:cs="Times New Roman"/>
          <w:b/>
          <w:bCs/>
          <w:color w:val="262626"/>
          <w:sz w:val="27"/>
          <w:lang w:eastAsia="pt-BR"/>
        </w:rPr>
        <w:t xml:space="preserve"> </w:t>
      </w:r>
      <w:r w:rsidRPr="00441797">
        <w:rPr>
          <w:rFonts w:ascii="Georgia" w:eastAsia="Times New Roman" w:hAnsi="Georgia" w:cs="Times New Roman"/>
          <w:b/>
          <w:bCs/>
          <w:color w:val="262626"/>
          <w:sz w:val="27"/>
          <w:lang w:eastAsia="pt-BR"/>
        </w:rPr>
        <w:t>Vítor Guerreiro</w:t>
      </w:r>
    </w:p>
    <w:p w:rsidR="00441797" w:rsidRPr="00441797" w:rsidRDefault="00441797" w:rsidP="00441797">
      <w:pPr>
        <w:spacing w:after="0" w:line="240" w:lineRule="auto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Suponhamos que alguém crê equivocadamente que a sociologia é a arte de ser sociável. Provavelmente essa pessoa franzirá o sobrolho ao ouvir alguém associar sociologia e, digamos, estatística. A estatística não serve para criar ambiente e é pouco apropriada para conversas ligeiras.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A relação entre música e filosofia é vítima de um equívoco verbal semelhante. A filosofia é para muitos a arte de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ser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sociável através de palavras caras, afirmações vagas e muitas citações de indivíduos que já morreram e cujos nomes têm uma sonoridade mística. De modo que as crenças das pessoas a respeito desta relação tendem a distribuir-se por dois extremos (chamemos-lhes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liberais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 e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cépticos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): há os que acreditam que uma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sequência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sons musicais pode ser literalmente filosofia, e há os que acreditam que a relação entre música e filosofia é inexistente. Quer por pensarem, no caso dos primeiros, que qualquer associação de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ideias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é “filosófica” (e compor música envolve sempre a associação de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ideias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musicais), quer por pensarem, no caso dos segundos, que a música é algo cujo domínio exige disciplina e rigor, e pouco tem a ver com o tipo de “socialização” indisciplinada a que me referi. Já a relação entre a música e outras áreas de investigação, em particular as de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cariz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empírico, é muito menos vítima deste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equívoco.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Que tem a música a ver com a história? Não é difícil ver a ligação. A história estuda os acontecimentos do passado. As convenções musicais em que os músicos e compositores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trabalham,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o modo de construir instrumentos, o tipo de instrumentos que se constrói, a notação musical, o ensino da música sofrem transformações ao longo do tempo e estudar essas coisas com a metodologia do historiador ajuda-nos a compreender a sua evolução. Ajuda-nos a responder a perguntas como: “por que há orquestras?”, “de onde vem a notação musical?”, “como surgiram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as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escalas e modos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actuais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?” A ligação com outras áreas, como a psicologia e a sociologia é também fácil de compreender. Sabendo qual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objecto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estudo dessas disciplinas e como nelas se trabalha,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compreende-se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facilmente quais os aspectos da música que podem ser produtivamente tratados pela psicologia e pela sociologia. Conseguimos imaginar sem dificuldade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perguntas a que estes investigadores tentam responder — “como funciona a aprendizagem musical?”, “o que acontece nas nossas cabeças quando ouvimos música?”, “que formas de música estão relacionadas com estas ou aquelas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actividades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ou classes sociais?”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Estas perguntas têm em comum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facto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de, para lhes darmos resposta, termos de fazer mais do que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reflectir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cuidadosamente. Supõem o uso de procedimentos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empíricos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 e o único modo de 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lastRenderedPageBreak/>
        <w:t xml:space="preserve">conhecermos a verdade das respostas é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inspeccionando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indícios físicos, informação experimental e estatística. Podemos não conhecer com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exactidão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trabalho que se faz em psicologia da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música ou em sociologia da música, mas compreendemos intuitivamente o interesse que a música pode ter para um psicólogo ou um sociólogo, tal como compreendemos intuitivamente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objecto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da musicologia evolucionista (mesmo quando ouvimos a expressão pela primeira vez), o interesse que a música pode ter para um biólogo que estuda o canto das baleias ou das aves ou a origem da música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humana.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Ao passo que é difícil imaginar claramente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perguntas a que um filósofo da música pode tentar responder, há uma uniformidade de expectativas quanto ao que deviam ser as suas respostas: ou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respostas filosóficas para problemas empíricos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 (uma inversão do cientificismo, que envolve querer dar respostas empíricas a problemas filosóficos) ou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juízos valorativos 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sobre composições e interpretações particulares. Aqui as opiniões dividem-se novamente entre os liberais e os cépticos, que partilham as mesmas expectativas relativamente à filosofia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mas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discordam quanto à capacidade desta para chegar a resultados. Assim, por exemplo, pode-se achar ou que a filosofia responderá a perguntas como “Qual a origem da música nos seres humanos?” (que é uma pergunta empírica e não filosófica), ou que </w:t>
      </w:r>
      <w:proofErr w:type="spellStart"/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não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responderá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a esse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perguntas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mas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que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 devia 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fazê-lo, se fosse cognitivamente interessante. As expectativas e desilusões são semelhantes no que respeita à emissão de juízos críticos particulares.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Isto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explica-se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pela incompreensão do que seja um problema filosófico e pelo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facto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na escola termos sido treinados para resolver ou problemas empíricos cuja solução foi já testada, ou problemas cuja resolução envolve procedimentos formais, como fazer cálculos. Por isso é tão comum confundir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objectividade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com escrutínio de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factos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e medições, imaginando-se a filosofia da música ou como uma rival das disciplinas empíricas, ou como algo “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subjectivo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”, muito semelhante à crítica musical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mas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com mais palavras caras por centímetro quadrado.</w:t>
      </w:r>
    </w:p>
    <w:p w:rsidR="00441797" w:rsidRPr="00441797" w:rsidRDefault="00441797" w:rsidP="00441797">
      <w:pPr>
        <w:spacing w:after="0" w:line="240" w:lineRule="auto"/>
        <w:ind w:firstLine="480"/>
        <w:jc w:val="both"/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</w:pP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A filosofia da música não procura substituir-se à investigação empírica sobre música nem à crítica musical. Procura resolver problemas que envolvem perplexidades reais e exigem solução, não são meramente verbais; e problemas insusceptíveis de serem resolvidos empiricamente. De que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problemas se trata? Por exemplo, i) a definição de música;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ii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) explicar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facto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a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mesma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 obra poder ter várias ocorrências sonoras cujas propriedades diferem, sem que isso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afecte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a sua identidade; iii) explicar em que consiste o poder expressivo da música; iv) saber o que é “compreender” uma obra musical; v) saber se a música tem conteúdo representacional; vi) se tem propriedades morais; vii) saber o que é o valor da música. Embora não seja exaustiva, a lista representa o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problemas a que o filósofo da música procura responder. Trata-se de problemas acerca 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lastRenderedPageBreak/>
        <w:t>da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realidade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 das entidades musicais (composições, obras, interpretações, improvisações), das suas propriedades e estatuto ontológico (que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género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de entidades são) e problemas acerca do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conhecimento 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e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experiência 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que temos delas. A estética musical é um subconjunto desses problemas. Não se confunde com coisas como a “defesa de uma estética...” em que no lugar vazio colocamos um </w:t>
      </w:r>
      <w:proofErr w:type="spell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adjectivo</w:t>
      </w:r>
      <w:proofErr w:type="spell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qualquer, por exemplo, “vanguardista”, “conservadora”, “realista”, etc. Também não se confunde com elogios às atitudes políticas de um compositor. A estética musical ocupa-se de problemas como os seguintes: saber em que consiste a beleza musical; o que distingue as experiências musicais, se algo o faz; que propriedades de uma obra ou </w:t>
      </w:r>
      <w:r w:rsidRPr="00441797">
        <w:rPr>
          <w:rFonts w:ascii="Georgia" w:eastAsia="Times New Roman" w:hAnsi="Georgia" w:cs="Times New Roman"/>
          <w:i/>
          <w:iCs/>
          <w:color w:val="262626"/>
          <w:sz w:val="27"/>
          <w:lang w:eastAsia="pt-BR"/>
        </w:rPr>
        <w:t>performance</w:t>
      </w:r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 são </w:t>
      </w:r>
      <w:proofErr w:type="gramStart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>relevantes para a apreciação estética e, já agora, o</w:t>
      </w:r>
      <w:proofErr w:type="gramEnd"/>
      <w:r w:rsidRPr="00441797">
        <w:rPr>
          <w:rFonts w:ascii="Georgia" w:eastAsia="Times New Roman" w:hAnsi="Georgia" w:cs="Times New Roman"/>
          <w:color w:val="262626"/>
          <w:sz w:val="27"/>
          <w:szCs w:val="27"/>
          <w:lang w:eastAsia="pt-BR"/>
        </w:rPr>
        <w:t xml:space="preserve"> que isso é.</w:t>
      </w:r>
    </w:p>
    <w:p w:rsidR="00AB121B" w:rsidRDefault="00AB121B"/>
    <w:sectPr w:rsidR="00AB121B" w:rsidSect="00AB1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1797"/>
    <w:rsid w:val="00441797"/>
    <w:rsid w:val="00A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1B"/>
  </w:style>
  <w:style w:type="paragraph" w:styleId="Ttulo1">
    <w:name w:val="heading 1"/>
    <w:basedOn w:val="Normal"/>
    <w:link w:val="Ttulo1Char"/>
    <w:uiPriority w:val="9"/>
    <w:qFormat/>
    <w:rsid w:val="0044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7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441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17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9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7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5519</Characters>
  <Application>Microsoft Office Word</Application>
  <DocSecurity>0</DocSecurity>
  <Lines>45</Lines>
  <Paragraphs>13</Paragraphs>
  <ScaleCrop>false</ScaleCrop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2019-02-05T18:14:00Z</dcterms:created>
  <dcterms:modified xsi:type="dcterms:W3CDTF">2019-02-05T18:15:00Z</dcterms:modified>
</cp:coreProperties>
</file>